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-1087755</wp:posOffset>
                </wp:positionH>
                <wp:positionV relativeFrom="paragraph">
                  <wp:posOffset>135890</wp:posOffset>
                </wp:positionV>
                <wp:extent cx="6670040" cy="2286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9360" cy="1728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7pt,10.05pt" to="439.4pt,11.3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2022 году материнский капитал на первенца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получили более тр</w:t>
      </w:r>
      <w:r>
        <w:rPr>
          <w:b/>
          <w:bCs/>
          <w:sz w:val="28"/>
          <w:szCs w:val="28"/>
        </w:rPr>
        <w:t>ё</w:t>
      </w:r>
      <w:r>
        <w:rPr>
          <w:b/>
          <w:bCs/>
          <w:sz w:val="28"/>
          <w:szCs w:val="28"/>
        </w:rPr>
        <w:t>х тысяч волгоградских семей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Волгоградской области с начала года обладателями материнского капитала стали </w:t>
      </w:r>
      <w:r>
        <w:rPr>
          <w:b/>
          <w:bCs/>
          <w:sz w:val="28"/>
          <w:szCs w:val="28"/>
        </w:rPr>
        <w:t>6 157</w:t>
      </w:r>
      <w:r>
        <w:rPr>
          <w:sz w:val="28"/>
          <w:szCs w:val="28"/>
        </w:rPr>
        <w:t xml:space="preserve"> семей, из них </w:t>
      </w:r>
      <w:r>
        <w:rPr>
          <w:b/>
          <w:bCs/>
          <w:sz w:val="28"/>
          <w:szCs w:val="28"/>
        </w:rPr>
        <w:t>3 159</w:t>
      </w:r>
      <w:r>
        <w:rPr>
          <w:sz w:val="28"/>
          <w:szCs w:val="28"/>
        </w:rPr>
        <w:t xml:space="preserve"> семей – </w:t>
      </w:r>
      <w:r>
        <w:rPr>
          <w:sz w:val="28"/>
          <w:szCs w:val="28"/>
        </w:rPr>
        <w:t>в связи с р</w:t>
      </w:r>
      <w:r>
        <w:rPr>
          <w:sz w:val="28"/>
          <w:szCs w:val="28"/>
        </w:rPr>
        <w:t>ождени</w:t>
      </w:r>
      <w:r>
        <w:rPr>
          <w:sz w:val="28"/>
          <w:szCs w:val="28"/>
        </w:rPr>
        <w:t>ем</w:t>
      </w:r>
      <w:r>
        <w:rPr>
          <w:sz w:val="28"/>
          <w:szCs w:val="28"/>
        </w:rPr>
        <w:t xml:space="preserve"> первенца.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Напомним: программа материнского (семейного) капитала продлена до конца 2026 года, а с апреля 2020 года право на сертификат получили семьи, в которых родились (усыновлены) первые дети.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того, сегодня сертификат на материнский капитал большинству семей выдается в беззаявительном порядке. Это означает, что после рождения реб</w:t>
      </w:r>
      <w:r>
        <w:rPr>
          <w:sz w:val="28"/>
          <w:szCs w:val="28"/>
        </w:rPr>
        <w:t>ё</w:t>
      </w:r>
      <w:r>
        <w:rPr>
          <w:sz w:val="28"/>
          <w:szCs w:val="28"/>
        </w:rPr>
        <w:t>нка он оформляется семье автоматически (по данным ЕГР ЗАГС) и направляется в личный кабинет мамы на сайте ПФР или портале Госуслуг. Исключение – семьи с усыновленными детьми. Для них сохраняется заявительный порядок оформления сертификата, поскольку сведения об усыновлении могут представить только сами родители.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Материнский капитал на первого реб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нка в 2022 году составляет  </w:t>
      </w:r>
      <w:r>
        <w:rPr>
          <w:b/>
          <w:bCs/>
          <w:sz w:val="28"/>
          <w:szCs w:val="28"/>
        </w:rPr>
        <w:t>524 527,9</w:t>
      </w:r>
      <w:r>
        <w:rPr>
          <w:sz w:val="28"/>
          <w:szCs w:val="28"/>
        </w:rPr>
        <w:t xml:space="preserve"> рублей. Сразу после рождения (или усыновления) первенца семья может направить средства маткапитала на уплату первоначального взноса по ипотеке или погашение уже имеющегося жилищного кредита и процентов по нему. Сделать это можно прямо в кредитных организациях, с которыми территориальный орган ПФР заключил соглашение об информационном взаимодействии – без обращения в Пенсионный фонд, одновременно с оформлением кредита на покупку жилья. Заявление на распоряжение капиталом и необходимые документы банк самостоятельно переда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 в ПФР.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29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2022-07-20T08:45:44Z</dcterms:modified>
  <cp:revision>129</cp:revision>
</cp:coreProperties>
</file>